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B1AD" w14:textId="77777777" w:rsidR="00A43C2B" w:rsidRDefault="00000000">
      <w:pPr>
        <w:pStyle w:val="titres"/>
        <w:widowControl/>
      </w:pPr>
      <w:r>
        <w:rPr>
          <w:rFonts w:ascii="Courier New" w:hAnsi="Courier New"/>
        </w:rPr>
        <w:t>PHILIPPE BLASBAND</w:t>
      </w:r>
    </w:p>
    <w:p w14:paraId="3D9A108A" w14:textId="77777777" w:rsidR="00A43C2B" w:rsidRDefault="00A43C2B">
      <w:pPr>
        <w:pStyle w:val="titres"/>
        <w:widowControl/>
        <w:rPr>
          <w:rFonts w:ascii="Courier New" w:hAnsi="Courier New"/>
        </w:rPr>
      </w:pPr>
    </w:p>
    <w:p w14:paraId="5A795E0A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né</w:t>
      </w:r>
      <w:proofErr w:type="gramEnd"/>
      <w:r>
        <w:rPr>
          <w:rFonts w:ascii="Courier New" w:hAnsi="Courier New"/>
        </w:rPr>
        <w:t xml:space="preserve"> le 26 Juillet 1964, à Téhéran</w:t>
      </w:r>
    </w:p>
    <w:p w14:paraId="7D1992A6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agent</w:t>
      </w:r>
      <w:proofErr w:type="gramEnd"/>
      <w:r>
        <w:rPr>
          <w:rFonts w:ascii="Courier New" w:hAnsi="Courier New"/>
        </w:rPr>
        <w:t> : Nathalie Mongin, « Paris, Septembre »,  3 rue Séguier, 75006 Paris</w:t>
      </w:r>
    </w:p>
    <w:p w14:paraId="591BF585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élève</w:t>
      </w:r>
      <w:proofErr w:type="gramEnd"/>
      <w:r>
        <w:rPr>
          <w:rFonts w:ascii="Courier New" w:hAnsi="Courier New"/>
        </w:rPr>
        <w:t xml:space="preserve"> de Gaston Compère à l'Athénée Royale d'Ixelles</w:t>
      </w:r>
    </w:p>
    <w:p w14:paraId="20A6DC0A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diplôme</w:t>
      </w:r>
      <w:proofErr w:type="gramEnd"/>
      <w:r>
        <w:rPr>
          <w:rFonts w:ascii="Courier New" w:hAnsi="Courier New"/>
        </w:rPr>
        <w:t xml:space="preserve"> de montage à l'INSAS</w:t>
      </w:r>
    </w:p>
    <w:p w14:paraId="3C54349D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 monté des courts-métrages en film et en vidéo</w:t>
      </w:r>
    </w:p>
    <w:p w14:paraId="057341BB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 animé des ateliers d’écriture dans un public mixte d’ex-analphabètes et d’ex-lettrés, sous la direction de Karine Wattiaux</w:t>
      </w:r>
    </w:p>
    <w:p w14:paraId="31AD5C7B" w14:textId="77777777" w:rsidR="00A43C2B" w:rsidRDefault="00000000">
      <w:pPr>
        <w:pStyle w:val="Standard"/>
        <w:widowControl/>
      </w:pPr>
      <w:r>
        <w:rPr>
          <w:rFonts w:ascii="Courier New" w:hAnsi="Courier New"/>
        </w:rPr>
        <w:t>a écrit et co-écrit des scénarios de courts et de longs-métrages (entre autres : courts : « les Vloems », « Bob le déplorable », deux sketchs de « les Sept Pêchés Capitaux », « John », « la Dinde », « La vie, la mort et le foot », « Joyeux Noël Rachid » ; longs : « Max et Bobo », « Une Liaison pornographique » (Coupe Volpi pour Nathalie Baye, Festival de Venise), « Thomas est amoureux », « J’ai toujours voulu être une sainte », « Le Tango des Rashevski », « Nathalie », « Irina Palm », « Quartier Lointain », « Les émotifs anonymes », « Tango libre » (prix Magritte du scénario), « Marie Heurtin »)</w:t>
      </w:r>
    </w:p>
    <w:p w14:paraId="62C1A157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 réalisé trois court-métrages, « WC », « Cha-cha-cha » et « Mireille et Lucien »</w:t>
      </w:r>
    </w:p>
    <w:p w14:paraId="39576B76" w14:textId="77777777" w:rsidR="00A43C2B" w:rsidRDefault="00000000">
      <w:pPr>
        <w:pStyle w:val="Standard"/>
        <w:widowControl/>
      </w:pPr>
      <w:r>
        <w:rPr>
          <w:rFonts w:ascii="Courier New" w:hAnsi="Courier New"/>
        </w:rPr>
        <w:t>a écrit neuf romans, « De Cendres et de fumées», prix Rossel 1990, «L'Effet-Cathédrale» et « Max et Minnie», publiés par les éditions Gallimard ; « Johnny Bruxelles », publié par les éditions Grasset ; « Quintessence » publié par Maelström ; « Le Livre des Rabinovitch », « Irina Poignet » et « Chocolat amer » publiés par les éditions Le Castor Astral ; un récit, « L’Enfant qui parlait dans les cocktails », publié par les éditions Climax ; un recueil de nouvelles « Quand j’étais sumo », publié par les éditions Le Castor Astral</w:t>
      </w:r>
    </w:p>
    <w:p w14:paraId="69C25413" w14:textId="77777777" w:rsidR="00A43C2B" w:rsidRDefault="00000000">
      <w:pPr>
        <w:pStyle w:val="Standard"/>
        <w:widowControl/>
      </w:pPr>
      <w:r>
        <w:rPr>
          <w:rFonts w:ascii="Courier New" w:hAnsi="Courier New"/>
        </w:rPr>
        <w:t>a écrit des pièces de théâtre : « La Lettre des Chats », « Une Chose intime » (aussi mise en scène), « Où es-tu Sammy Rebenski?», « Jef », « Le Masque du Dragon», « Les Mangeuses de Chocolat » (aussi mise en scène), « L'Invisible », « Une aventure de Simon Rapoport, guerrier de l’espace » (</w:t>
      </w:r>
      <w:proofErr w:type="gramStart"/>
      <w:r>
        <w:rPr>
          <w:rFonts w:ascii="Courier New" w:hAnsi="Courier New"/>
        </w:rPr>
        <w:t>aussi</w:t>
      </w:r>
      <w:proofErr w:type="gramEnd"/>
      <w:r>
        <w:rPr>
          <w:rFonts w:ascii="Courier New" w:hAnsi="Courier New"/>
        </w:rPr>
        <w:t xml:space="preserve"> mise en scène), « Pitch » (aussi mise en scène) , « Le Village oublié d’au-delà des montagnes », « Les Témoins » (aussi mise en scène), « Paternel » (aussi mise en scène), « Rue du Croissant », « Après Anatole », « Les Minutes », « Ogresse » (aussi mise en scène), « Tuyauterie » (aussi mise en scène), « Le tramway des enfants (co-mise en </w:t>
      </w:r>
      <w:r>
        <w:rPr>
          <w:rFonts w:ascii="Courier New" w:hAnsi="Courier New"/>
        </w:rPr>
        <w:lastRenderedPageBreak/>
        <w:t>scène avec Pierre Sartenaer), « La comédienne de garde » (aussi mise en scène) et « L'album photo ».</w:t>
      </w:r>
    </w:p>
    <w:p w14:paraId="5F203E4F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 mis en scène « les Sept Jours de Simon Labrosse » de Carole Fréchette, « Macbeth à deux » d'après Shakespeare, « Cannibale » de José Pliya</w:t>
      </w:r>
    </w:p>
    <w:p w14:paraId="73033BA1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 écrit et réalisé quatre long-métrage: « Un Honnête Commerçant », « La Couleur des Mots », « Coquelicots », « Maternelle ».</w:t>
      </w:r>
    </w:p>
    <w:p w14:paraId="5E139502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site</w:t>
      </w:r>
      <w:proofErr w:type="gramEnd"/>
      <w:r>
        <w:rPr>
          <w:rFonts w:ascii="Courier New" w:hAnsi="Courier New"/>
        </w:rPr>
        <w:t xml:space="preserve"> : </w:t>
      </w:r>
      <w:hyperlink r:id="rId6" w:history="1">
        <w:r>
          <w:rPr>
            <w:rFonts w:ascii="Courier New" w:hAnsi="Courier New"/>
          </w:rPr>
          <w:t>www.blasband.be</w:t>
        </w:r>
      </w:hyperlink>
    </w:p>
    <w:p w14:paraId="304861F1" w14:textId="77777777" w:rsidR="00A43C2B" w:rsidRDefault="00000000">
      <w:pPr>
        <w:pStyle w:val="Standard"/>
        <w:widowControl/>
      </w:pPr>
      <w:proofErr w:type="gramStart"/>
      <w:r>
        <w:rPr>
          <w:rFonts w:ascii="Courier New" w:hAnsi="Courier New"/>
        </w:rPr>
        <w:t>adresse</w:t>
      </w:r>
      <w:proofErr w:type="gramEnd"/>
      <w:r>
        <w:rPr>
          <w:rFonts w:ascii="Courier New" w:hAnsi="Courier New"/>
        </w:rPr>
        <w:t xml:space="preserve"> Email : </w:t>
      </w:r>
      <w:hyperlink r:id="rId7" w:history="1">
        <w:r>
          <w:rPr>
            <w:rFonts w:ascii="Courier New" w:hAnsi="Courier New"/>
          </w:rPr>
          <w:t>pblasband@gmail.com</w:t>
        </w:r>
      </w:hyperlink>
    </w:p>
    <w:sectPr w:rsidR="00A43C2B">
      <w:pgSz w:w="11906" w:h="16838"/>
      <w:pgMar w:top="1417" w:right="1440" w:bottom="21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AFB1" w14:textId="77777777" w:rsidR="002966F6" w:rsidRDefault="002966F6">
      <w:r>
        <w:separator/>
      </w:r>
    </w:p>
  </w:endnote>
  <w:endnote w:type="continuationSeparator" w:id="0">
    <w:p w14:paraId="4886D3CB" w14:textId="77777777" w:rsidR="002966F6" w:rsidRDefault="0029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A12A" w14:textId="77777777" w:rsidR="002966F6" w:rsidRDefault="002966F6">
      <w:r>
        <w:rPr>
          <w:color w:val="000000"/>
        </w:rPr>
        <w:separator/>
      </w:r>
    </w:p>
  </w:footnote>
  <w:footnote w:type="continuationSeparator" w:id="0">
    <w:p w14:paraId="492453F0" w14:textId="77777777" w:rsidR="002966F6" w:rsidRDefault="0029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dgnword-docGUID" w:val="{AA8A6F40-545F-41CE-8CA3-2130B78DE94F}"/>
    <w:docVar w:name="dgnword-eventsink" w:val="1986097358784"/>
  </w:docVars>
  <w:rsids>
    <w:rsidRoot w:val="00A43C2B"/>
    <w:rsid w:val="0001413F"/>
    <w:rsid w:val="00197103"/>
    <w:rsid w:val="002966F6"/>
    <w:rsid w:val="00A4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23C"/>
  <w15:docId w15:val="{FC04112F-388F-4A7F-A52E-1BFEB37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fr-BE" w:eastAsia="fr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keepNext/>
      <w:spacing w:before="240"/>
    </w:pPr>
    <w:rPr>
      <w:rFonts w:ascii="Palatino" w:hAnsi="Palatino"/>
      <w:lang w:val="fr-FR" w:eastAsia="en-US"/>
    </w:rPr>
  </w:style>
  <w:style w:type="paragraph" w:customStyle="1" w:styleId="Heading">
    <w:name w:val="Heading"/>
    <w:basedOn w:val="Standard"/>
    <w:next w:val="Textbody"/>
    <w:pPr>
      <w:spacing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itres">
    <w:name w:val="titres"/>
    <w:pPr>
      <w:spacing w:after="240"/>
      <w:jc w:val="center"/>
    </w:pPr>
    <w:rPr>
      <w:rFonts w:ascii="Palatino" w:hAnsi="Palatino"/>
      <w:b/>
      <w:sz w:val="24"/>
      <w:lang w:val="fr-FR" w:eastAsia="en-US"/>
    </w:rPr>
  </w:style>
  <w:style w:type="paragraph" w:customStyle="1" w:styleId="sous-titres">
    <w:name w:val="sous-titres"/>
    <w:pPr>
      <w:keepNext/>
      <w:spacing w:before="720" w:after="240"/>
      <w:ind w:left="562"/>
    </w:pPr>
    <w:rPr>
      <w:rFonts w:ascii="Palatino" w:hAnsi="Palatino"/>
      <w:b/>
      <w:sz w:val="24"/>
      <w:lang w:val="fr-FR" w:eastAsia="en-US"/>
    </w:rPr>
  </w:style>
  <w:style w:type="paragraph" w:customStyle="1" w:styleId="commentairessuroeuvres">
    <w:name w:val="commentaires sur oeuvres"/>
    <w:pPr>
      <w:keepLines/>
    </w:pPr>
    <w:rPr>
      <w:rFonts w:ascii="Palatino" w:hAnsi="Palatino"/>
      <w:sz w:val="14"/>
      <w:lang w:val="fr-FR" w:eastAsia="en-US"/>
    </w:rPr>
  </w:style>
  <w:style w:type="paragraph" w:customStyle="1" w:styleId="oeuvres">
    <w:name w:val="oeuvres"/>
    <w:pPr>
      <w:keepNext/>
      <w:spacing w:before="240"/>
    </w:pPr>
    <w:rPr>
      <w:rFonts w:ascii="Palatino" w:hAnsi="Palatino"/>
      <w:b/>
      <w:lang w:val="fr-FR" w:eastAsia="en-US"/>
    </w:rPr>
  </w:style>
  <w:style w:type="paragraph" w:styleId="En-tte">
    <w:name w:val="header"/>
    <w:basedOn w:val="Standard"/>
    <w:pPr>
      <w:keepNext w:val="0"/>
      <w:suppressLineNumbers/>
      <w:tabs>
        <w:tab w:val="center" w:pos="4819"/>
        <w:tab w:val="right" w:pos="9638"/>
      </w:tabs>
      <w:spacing w:before="0"/>
    </w:pPr>
    <w:rPr>
      <w:b/>
      <w:position w:val="-8"/>
      <w:sz w:val="14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styleId="Mentionnonrsolue">
    <w:name w:val="Unresolved Mention"/>
    <w:rPr>
      <w:color w:val="605E5C"/>
    </w:rPr>
  </w:style>
  <w:style w:type="character" w:styleId="Lienhypertextesuivivisit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lasband@gmail.com.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sband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PHILIPPE BLASBAND</dc:title>
  <dc:creator>Philippe Blasband</dc:creator>
  <cp:lastModifiedBy>Philippe Blasband</cp:lastModifiedBy>
  <cp:revision>2</cp:revision>
  <cp:lastPrinted>2000-10-19T11:54:00Z</cp:lastPrinted>
  <dcterms:created xsi:type="dcterms:W3CDTF">2024-10-30T07:02:00Z</dcterms:created>
  <dcterms:modified xsi:type="dcterms:W3CDTF">2024-10-30T07:02:00Z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Phidani Software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